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2DAF" w:rsidRDefault="007F2DAF" w:rsidP="007F2DAF">
      <w:pPr>
        <w:pStyle w:val="-"/>
        <w:rPr>
          <w:rFonts w:eastAsiaTheme="minorEastAsia"/>
          <w:rtl/>
        </w:rPr>
      </w:pPr>
      <w:bookmarkStart w:id="0" w:name="נספח_ד"/>
      <w:bookmarkStart w:id="1" w:name="_Toc101957892"/>
      <w:r>
        <w:rPr>
          <w:rFonts w:eastAsiaTheme="minorEastAsia" w:hint="cs"/>
          <w:rtl/>
        </w:rPr>
        <w:t>נספח ד</w:t>
      </w:r>
    </w:p>
    <w:bookmarkEnd w:id="0"/>
    <w:p w:rsidR="007F2DAF" w:rsidRPr="00AA290D" w:rsidRDefault="007F2DAF" w:rsidP="007F2DAF">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יחיד/ספק חוץ</w:t>
      </w:r>
      <w:bookmarkEnd w:id="1"/>
    </w:p>
    <w:p w:rsidR="007F2DAF" w:rsidRPr="00AA290D" w:rsidRDefault="007F2DAF" w:rsidP="007F2DAF">
      <w:pPr>
        <w:rPr>
          <w:rFonts w:ascii="Arial" w:hAnsi="Arial" w:cs="Arial"/>
          <w:b/>
          <w:sz w:val="22"/>
          <w:szCs w:val="22"/>
          <w:rtl/>
        </w:rPr>
      </w:pPr>
    </w:p>
    <w:p w:rsidR="007F2DAF" w:rsidRPr="00AA290D" w:rsidRDefault="007F2DAF" w:rsidP="007F2DAF">
      <w:pPr>
        <w:rPr>
          <w:rFonts w:ascii="Arial" w:hAnsi="Arial" w:cs="Arial"/>
          <w:b/>
          <w:sz w:val="22"/>
          <w:szCs w:val="22"/>
          <w:rtl/>
        </w:rPr>
      </w:pPr>
      <w:r w:rsidRPr="00AA290D">
        <w:rPr>
          <w:rFonts w:ascii="Arial" w:hAnsi="Arial" w:cs="Arial"/>
          <w:b/>
          <w:sz w:val="22"/>
          <w:szCs w:val="22"/>
          <w:rtl/>
        </w:rPr>
        <w:t xml:space="preserve">אל: ועדת המכרזים </w:t>
      </w:r>
    </w:p>
    <w:p w:rsidR="007F2DAF" w:rsidRPr="00AA290D" w:rsidRDefault="007F2DAF" w:rsidP="007F2DAF">
      <w:pPr>
        <w:rPr>
          <w:rFonts w:ascii="Arial" w:hAnsi="Arial" w:cs="Arial"/>
          <w:b/>
          <w:sz w:val="22"/>
          <w:szCs w:val="22"/>
          <w:rtl/>
        </w:rPr>
      </w:pPr>
    </w:p>
    <w:p w:rsidR="007F2DAF" w:rsidRPr="00AA290D" w:rsidRDefault="007F2DAF" w:rsidP="007F2DAF">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rsidR="007F2DAF" w:rsidRPr="00AA290D" w:rsidRDefault="007F2DAF" w:rsidP="007F2DAF">
      <w:pPr>
        <w:jc w:val="both"/>
        <w:rPr>
          <w:rFonts w:ascii="Arial" w:hAnsi="Arial" w:cs="Arial"/>
          <w:b/>
          <w:sz w:val="22"/>
          <w:szCs w:val="22"/>
          <w:rtl/>
        </w:rPr>
      </w:pPr>
    </w:p>
    <w:p w:rsidR="007F2DAF" w:rsidRPr="00AA290D" w:rsidRDefault="007F2DAF" w:rsidP="007F2DAF">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5"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6"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rsidR="007F2DAF" w:rsidRPr="00AA290D" w:rsidRDefault="007F2DAF" w:rsidP="007F2DAF">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630"/>
      </w:tblGrid>
      <w:tr w:rsidR="007F2DAF" w:rsidRPr="00AA290D" w:rsidTr="00DD297B">
        <w:tc>
          <w:tcPr>
            <w:tcW w:w="9178" w:type="dxa"/>
            <w:tcBorders>
              <w:bottom w:val="single" w:sz="4" w:space="0" w:color="auto"/>
            </w:tcBorders>
            <w:shd w:val="clear" w:color="auto" w:fill="E6E6E6"/>
          </w:tcPr>
          <w:p w:rsidR="007F2DAF" w:rsidRPr="00AA290D" w:rsidRDefault="007F2DAF" w:rsidP="00DD297B">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7F2DAF" w:rsidRPr="00AA290D" w:rsidTr="00DD297B">
        <w:tc>
          <w:tcPr>
            <w:tcW w:w="9178" w:type="dxa"/>
            <w:tcBorders>
              <w:bottom w:val="single" w:sz="4" w:space="0" w:color="auto"/>
            </w:tcBorders>
          </w:tcPr>
          <w:p w:rsidR="007F2DAF" w:rsidRPr="00AA290D" w:rsidRDefault="00721C13" w:rsidP="00721C13">
            <w:pPr>
              <w:rPr>
                <w:rFonts w:ascii="Arial" w:hAnsi="Arial" w:cs="Arial"/>
                <w:b/>
                <w:sz w:val="22"/>
                <w:szCs w:val="22"/>
                <w:rtl/>
              </w:rPr>
            </w:pPr>
            <w:r>
              <w:rPr>
                <w:rFonts w:ascii="Arial" w:hAnsi="Arial" w:cs="Arial" w:hint="cs"/>
                <w:b/>
                <w:sz w:val="22"/>
                <w:szCs w:val="22"/>
                <w:rtl/>
              </w:rPr>
              <w:t xml:space="preserve"> </w:t>
            </w:r>
            <w:proofErr w:type="spellStart"/>
            <w:r w:rsidRPr="00721C13">
              <w:rPr>
                <w:rFonts w:ascii="Arial" w:hAnsi="Arial" w:cs="Arial"/>
                <w:b/>
                <w:sz w:val="22"/>
                <w:szCs w:val="22"/>
                <w:rtl/>
              </w:rPr>
              <w:t>תקשרות</w:t>
            </w:r>
            <w:proofErr w:type="spellEnd"/>
            <w:r w:rsidRPr="00721C13">
              <w:rPr>
                <w:rFonts w:ascii="Arial" w:hAnsi="Arial" w:cs="Arial"/>
                <w:b/>
                <w:sz w:val="22"/>
                <w:szCs w:val="22"/>
                <w:rtl/>
              </w:rPr>
              <w:t xml:space="preserve"> עם רשות ניקוז קישון –על יסוד תנאי תקנה 3 (29) </w:t>
            </w:r>
            <w:proofErr w:type="spellStart"/>
            <w:r w:rsidRPr="00721C13">
              <w:rPr>
                <w:rFonts w:ascii="Arial" w:hAnsi="Arial" w:cs="Arial"/>
                <w:b/>
                <w:sz w:val="22"/>
                <w:szCs w:val="22"/>
                <w:rtl/>
              </w:rPr>
              <w:t>לתח"ם</w:t>
            </w:r>
            <w:proofErr w:type="spellEnd"/>
            <w:r w:rsidRPr="00721C13">
              <w:rPr>
                <w:rFonts w:ascii="Arial" w:hAnsi="Arial" w:cs="Arial"/>
                <w:b/>
                <w:sz w:val="22"/>
                <w:szCs w:val="22"/>
                <w:rtl/>
              </w:rPr>
              <w:t xml:space="preserve"> – לביצוע פרויקט "עמק בית נטופה" – פעולות פיתוח - בהתאם לתוכנית החומש של הממשלה – "550"</w:t>
            </w:r>
          </w:p>
        </w:tc>
      </w:tr>
    </w:tbl>
    <w:p w:rsidR="007F2DAF" w:rsidRPr="00AA290D" w:rsidRDefault="007F2DAF" w:rsidP="007F2DAF">
      <w:pPr>
        <w:rPr>
          <w:rFonts w:ascii="Arial" w:hAnsi="Arial" w:cs="Arial"/>
          <w:bCs/>
          <w:sz w:val="22"/>
          <w:szCs w:val="22"/>
          <w:rtl/>
        </w:rPr>
      </w:pPr>
    </w:p>
    <w:p w:rsidR="007F2DAF" w:rsidRPr="00AA290D" w:rsidRDefault="007F2DAF" w:rsidP="007F2DAF">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rsidR="007F2DAF" w:rsidRPr="00AA290D" w:rsidRDefault="007F2DAF" w:rsidP="007F2DAF">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rsidR="007F2DAF" w:rsidRPr="00AA290D" w:rsidRDefault="007F2DAF" w:rsidP="007F2DAF">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7F2DAF" w:rsidRPr="00AA290D" w:rsidTr="00DD297B">
        <w:tc>
          <w:tcPr>
            <w:tcW w:w="3085" w:type="dxa"/>
          </w:tcPr>
          <w:p w:rsidR="007F2DAF" w:rsidRPr="00AA290D" w:rsidRDefault="007F2DAF" w:rsidP="00DD297B">
            <w:pPr>
              <w:ind w:right="283"/>
              <w:rPr>
                <w:rFonts w:ascii="Arial" w:hAnsi="Arial" w:cs="Arial"/>
                <w:b/>
                <w:sz w:val="22"/>
                <w:szCs w:val="22"/>
                <w:rtl/>
              </w:rPr>
            </w:pPr>
            <w:r w:rsidRPr="00AA290D">
              <w:rPr>
                <w:rFonts w:ascii="Arial" w:hAnsi="Arial" w:cs="Arial"/>
                <w:b/>
                <w:sz w:val="22"/>
                <w:szCs w:val="22"/>
                <w:rtl/>
              </w:rPr>
              <w:t xml:space="preserve">   </w:t>
            </w:r>
            <w:r w:rsidRPr="00AA290D">
              <w:rPr>
                <w:rFonts w:ascii="Wingdings" w:hAnsi="Wingdings" w:cs="Arial"/>
                <w:b/>
                <w:sz w:val="28"/>
                <w:szCs w:val="28"/>
              </w:rPr>
              <w:t></w:t>
            </w:r>
            <w:r w:rsidRPr="00AA290D">
              <w:rPr>
                <w:rFonts w:ascii="Arial" w:hAnsi="Arial" w:cs="Arial"/>
                <w:b/>
                <w:sz w:val="22"/>
                <w:szCs w:val="22"/>
                <w:rtl/>
              </w:rPr>
              <w:t xml:space="preserve">  טובין</w:t>
            </w:r>
          </w:p>
        </w:tc>
        <w:tc>
          <w:tcPr>
            <w:tcW w:w="2977" w:type="dxa"/>
          </w:tcPr>
          <w:p w:rsidR="007F2DAF" w:rsidRPr="00AA290D" w:rsidRDefault="007F2DAF" w:rsidP="00DD297B">
            <w:pPr>
              <w:ind w:right="283"/>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שירותים</w:t>
            </w:r>
          </w:p>
        </w:tc>
        <w:tc>
          <w:tcPr>
            <w:tcW w:w="3116" w:type="dxa"/>
          </w:tcPr>
          <w:p w:rsidR="007F2DAF" w:rsidRPr="00AA290D" w:rsidRDefault="007F2DAF" w:rsidP="00DD297B">
            <w:pPr>
              <w:ind w:right="283"/>
              <w:rPr>
                <w:rFonts w:ascii="Arial" w:hAnsi="Arial" w:cs="Arial"/>
                <w:b/>
                <w:sz w:val="22"/>
                <w:szCs w:val="22"/>
                <w:rtl/>
              </w:rPr>
            </w:pPr>
          </w:p>
        </w:tc>
      </w:tr>
    </w:tbl>
    <w:p w:rsidR="007F2DAF" w:rsidRPr="00AA290D" w:rsidRDefault="007F2DAF" w:rsidP="007F2DAF">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28"/>
        <w:gridCol w:w="3170"/>
        <w:gridCol w:w="2837"/>
      </w:tblGrid>
      <w:tr w:rsidR="007F2DAF" w:rsidRPr="00AA290D" w:rsidTr="00DD297B">
        <w:tc>
          <w:tcPr>
            <w:tcW w:w="2698" w:type="dxa"/>
            <w:tcBorders>
              <w:top w:val="single" w:sz="4" w:space="0" w:color="auto"/>
              <w:left w:val="single" w:sz="4" w:space="0" w:color="auto"/>
              <w:bottom w:val="single" w:sz="4" w:space="0" w:color="auto"/>
              <w:right w:val="single" w:sz="4" w:space="0" w:color="auto"/>
            </w:tcBorders>
            <w:shd w:val="clear" w:color="auto" w:fill="E6E6E6"/>
          </w:tcPr>
          <w:p w:rsidR="007F2DAF" w:rsidRPr="00AA290D" w:rsidRDefault="007F2DAF" w:rsidP="00DD297B">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7F2DAF" w:rsidRPr="00AA290D" w:rsidRDefault="00721C13" w:rsidP="00DD297B">
            <w:pPr>
              <w:rPr>
                <w:rFonts w:ascii="Arial" w:hAnsi="Arial" w:cs="Arial"/>
                <w:b/>
                <w:sz w:val="22"/>
                <w:szCs w:val="22"/>
                <w:highlight w:val="yellow"/>
                <w:rtl/>
              </w:rPr>
            </w:pPr>
            <w:r w:rsidRPr="00721C13">
              <w:rPr>
                <w:rFonts w:ascii="Arial" w:hAnsi="Arial" w:cs="Arial"/>
                <w:b/>
                <w:sz w:val="22"/>
                <w:szCs w:val="22"/>
                <w:rtl/>
              </w:rPr>
              <w:t>רשות ניקוז קישון</w:t>
            </w:r>
            <w:r>
              <w:rPr>
                <w:rFonts w:ascii="Arial" w:hAnsi="Arial" w:cs="Arial" w:hint="cs"/>
                <w:b/>
                <w:sz w:val="22"/>
                <w:szCs w:val="22"/>
                <w:rtl/>
              </w:rPr>
              <w:t xml:space="preserve"> </w:t>
            </w:r>
          </w:p>
        </w:tc>
      </w:tr>
      <w:tr w:rsidR="007F2DAF" w:rsidRPr="00AA290D" w:rsidTr="00DD297B">
        <w:tc>
          <w:tcPr>
            <w:tcW w:w="2698" w:type="dxa"/>
            <w:tcBorders>
              <w:top w:val="single" w:sz="4" w:space="0" w:color="auto"/>
              <w:left w:val="single" w:sz="4" w:space="0" w:color="auto"/>
              <w:bottom w:val="single" w:sz="4" w:space="0" w:color="auto"/>
              <w:right w:val="single" w:sz="4" w:space="0" w:color="auto"/>
            </w:tcBorders>
            <w:shd w:val="clear" w:color="auto" w:fill="E6E6E6"/>
          </w:tcPr>
          <w:p w:rsidR="007F2DAF" w:rsidRPr="00AA290D" w:rsidRDefault="007F2DAF" w:rsidP="00DD297B">
            <w:pPr>
              <w:rPr>
                <w:rFonts w:ascii="Arial" w:hAnsi="Arial" w:cs="Arial"/>
                <w:bCs/>
                <w:sz w:val="22"/>
                <w:szCs w:val="22"/>
                <w:rtl/>
              </w:rPr>
            </w:pPr>
            <w:r w:rsidRPr="00AA290D">
              <w:rPr>
                <w:rFonts w:ascii="Arial" w:hAnsi="Arial" w:cs="Arial"/>
                <w:bCs/>
                <w:sz w:val="22"/>
                <w:szCs w:val="22"/>
                <w:rtl/>
              </w:rPr>
              <w:t xml:space="preserve">מספר הספק </w:t>
            </w:r>
          </w:p>
          <w:p w:rsidR="007F2DAF" w:rsidRPr="00AA290D" w:rsidRDefault="007F2DAF" w:rsidP="00DD297B">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7F2DAF" w:rsidRPr="00AA290D" w:rsidRDefault="007F2DAF" w:rsidP="00DD297B">
            <w:pPr>
              <w:rPr>
                <w:rFonts w:ascii="Arial" w:hAnsi="Arial" w:cs="Arial"/>
                <w:b/>
                <w:sz w:val="22"/>
                <w:szCs w:val="22"/>
                <w:highlight w:val="yellow"/>
                <w:rtl/>
              </w:rPr>
            </w:pPr>
            <w:r w:rsidRPr="00AA290D">
              <w:rPr>
                <w:rFonts w:ascii="Arial" w:hAnsi="Arial" w:cs="Arial"/>
                <w:b/>
                <w:sz w:val="22"/>
                <w:szCs w:val="22"/>
                <w:rtl/>
              </w:rPr>
              <w:t>573200909</w:t>
            </w:r>
          </w:p>
        </w:tc>
      </w:tr>
      <w:tr w:rsidR="007F2DAF" w:rsidRPr="00AA290D" w:rsidTr="00DD297B">
        <w:tc>
          <w:tcPr>
            <w:tcW w:w="2698" w:type="dxa"/>
            <w:tcBorders>
              <w:top w:val="single" w:sz="4" w:space="0" w:color="auto"/>
              <w:left w:val="single" w:sz="4" w:space="0" w:color="auto"/>
              <w:bottom w:val="single" w:sz="4" w:space="0" w:color="auto"/>
              <w:right w:val="single" w:sz="4" w:space="0" w:color="auto"/>
            </w:tcBorders>
            <w:shd w:val="clear" w:color="auto" w:fill="E6E6E6"/>
          </w:tcPr>
          <w:p w:rsidR="007F2DAF" w:rsidRPr="00AA290D" w:rsidRDefault="007F2DAF" w:rsidP="00DD297B">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rsidR="007F2DAF" w:rsidRPr="00AA290D" w:rsidRDefault="007F2DAF" w:rsidP="00DD297B">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7F2DAF" w:rsidRPr="00AA290D" w:rsidRDefault="007F2DAF" w:rsidP="00DD297B">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7F2DAF" w:rsidRPr="00AA290D" w:rsidTr="00DD297B">
        <w:tc>
          <w:tcPr>
            <w:tcW w:w="2698" w:type="dxa"/>
            <w:tcBorders>
              <w:top w:val="single" w:sz="4" w:space="0" w:color="auto"/>
              <w:left w:val="single" w:sz="4" w:space="0" w:color="auto"/>
              <w:bottom w:val="single" w:sz="4" w:space="0" w:color="auto"/>
              <w:right w:val="single" w:sz="4" w:space="0" w:color="auto"/>
            </w:tcBorders>
            <w:shd w:val="clear" w:color="auto" w:fill="E6E6E6"/>
          </w:tcPr>
          <w:p w:rsidR="007F2DAF" w:rsidRPr="00AA290D" w:rsidRDefault="007F2DAF" w:rsidP="00DD297B">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7F2DAF" w:rsidRPr="00AA290D" w:rsidRDefault="00721C13" w:rsidP="00DD297B">
            <w:pPr>
              <w:rPr>
                <w:rFonts w:ascii="Arial" w:hAnsi="Arial" w:cs="Arial"/>
                <w:b/>
                <w:sz w:val="22"/>
                <w:szCs w:val="22"/>
                <w:highlight w:val="yellow"/>
                <w:rtl/>
              </w:rPr>
            </w:pPr>
            <w:r>
              <w:rPr>
                <w:rFonts w:ascii="Arial" w:hAnsi="Arial" w:cs="Arial" w:hint="cs"/>
                <w:b/>
                <w:sz w:val="22"/>
                <w:szCs w:val="22"/>
                <w:rtl/>
              </w:rPr>
              <w:t xml:space="preserve">10 </w:t>
            </w:r>
            <w:proofErr w:type="spellStart"/>
            <w:r>
              <w:rPr>
                <w:rFonts w:ascii="Arial" w:hAnsi="Arial" w:cs="Arial" w:hint="cs"/>
                <w:b/>
                <w:sz w:val="22"/>
                <w:szCs w:val="22"/>
                <w:rtl/>
              </w:rPr>
              <w:t>מלש"ח</w:t>
            </w:r>
            <w:proofErr w:type="spellEnd"/>
            <w:r>
              <w:rPr>
                <w:rFonts w:ascii="Arial" w:hAnsi="Arial" w:cs="Arial" w:hint="cs"/>
                <w:b/>
                <w:sz w:val="22"/>
                <w:szCs w:val="22"/>
                <w:rtl/>
              </w:rPr>
              <w:t xml:space="preserve"> </w:t>
            </w:r>
          </w:p>
        </w:tc>
      </w:tr>
      <w:tr w:rsidR="007F2DAF" w:rsidRPr="00AA290D" w:rsidTr="00DD297B">
        <w:tc>
          <w:tcPr>
            <w:tcW w:w="2698" w:type="dxa"/>
            <w:tcBorders>
              <w:top w:val="single" w:sz="4" w:space="0" w:color="auto"/>
              <w:left w:val="single" w:sz="4" w:space="0" w:color="auto"/>
              <w:bottom w:val="single" w:sz="4" w:space="0" w:color="auto"/>
              <w:right w:val="single" w:sz="4" w:space="0" w:color="auto"/>
            </w:tcBorders>
            <w:shd w:val="clear" w:color="auto" w:fill="E6E6E6"/>
          </w:tcPr>
          <w:p w:rsidR="007F2DAF" w:rsidRPr="00AA290D" w:rsidRDefault="007F2DAF" w:rsidP="00DD297B">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7F2DAF" w:rsidRPr="00AA290D" w:rsidRDefault="00721C13" w:rsidP="00DD297B">
            <w:pPr>
              <w:rPr>
                <w:rFonts w:ascii="Arial" w:hAnsi="Arial" w:cs="Arial"/>
                <w:b/>
                <w:sz w:val="22"/>
                <w:szCs w:val="22"/>
                <w:highlight w:val="yellow"/>
                <w:rtl/>
              </w:rPr>
            </w:pPr>
            <w:r>
              <w:rPr>
                <w:rFonts w:ascii="Arial" w:hAnsi="Arial" w:cs="Arial" w:hint="cs"/>
                <w:b/>
                <w:sz w:val="22"/>
                <w:szCs w:val="22"/>
                <w:rtl/>
              </w:rPr>
              <w:t>24/10/2022-31/12/2026</w:t>
            </w:r>
          </w:p>
        </w:tc>
      </w:tr>
    </w:tbl>
    <w:p w:rsidR="007F2DAF" w:rsidRPr="00AA290D" w:rsidRDefault="007F2DAF" w:rsidP="007F2DAF">
      <w:pPr>
        <w:rPr>
          <w:rFonts w:ascii="Arial" w:hAnsi="Arial" w:cs="Arial"/>
          <w:bCs/>
          <w:rtl/>
        </w:rPr>
      </w:pPr>
    </w:p>
    <w:p w:rsidR="007F2DAF" w:rsidRDefault="007F2DAF" w:rsidP="007F2DAF">
      <w:pPr>
        <w:rPr>
          <w:rFonts w:ascii="Arial" w:hAnsi="Arial" w:cs="Arial"/>
          <w:bCs/>
          <w:rtl/>
        </w:rPr>
      </w:pPr>
    </w:p>
    <w:p w:rsidR="00721C13" w:rsidRDefault="00721C13" w:rsidP="007F2DAF">
      <w:pPr>
        <w:rPr>
          <w:rFonts w:ascii="Arial" w:hAnsi="Arial" w:cs="Arial"/>
          <w:bCs/>
          <w:rtl/>
        </w:rPr>
      </w:pPr>
    </w:p>
    <w:p w:rsidR="00721C13" w:rsidRDefault="00721C13" w:rsidP="007F2DAF">
      <w:pPr>
        <w:rPr>
          <w:rFonts w:ascii="Arial" w:hAnsi="Arial" w:cs="Arial"/>
          <w:bCs/>
          <w:rtl/>
        </w:rPr>
      </w:pPr>
    </w:p>
    <w:p w:rsidR="00721C13" w:rsidRDefault="00721C13" w:rsidP="007F2DAF">
      <w:pPr>
        <w:rPr>
          <w:rFonts w:ascii="Arial" w:hAnsi="Arial" w:cs="Arial"/>
          <w:bCs/>
          <w:rtl/>
        </w:rPr>
      </w:pPr>
    </w:p>
    <w:p w:rsidR="00721C13" w:rsidRDefault="00721C13" w:rsidP="007F2DAF">
      <w:pPr>
        <w:rPr>
          <w:rFonts w:ascii="Arial" w:hAnsi="Arial" w:cs="Arial"/>
          <w:bCs/>
          <w:rtl/>
        </w:rPr>
      </w:pPr>
    </w:p>
    <w:p w:rsidR="00721C13" w:rsidRDefault="00721C13" w:rsidP="007F2DAF">
      <w:pPr>
        <w:rPr>
          <w:rFonts w:ascii="Arial" w:hAnsi="Arial" w:cs="Arial"/>
          <w:bCs/>
          <w:rtl/>
        </w:rPr>
      </w:pPr>
    </w:p>
    <w:p w:rsidR="00721C13" w:rsidRDefault="00721C13" w:rsidP="007F2DAF">
      <w:pPr>
        <w:rPr>
          <w:rFonts w:ascii="Arial" w:hAnsi="Arial" w:cs="Arial"/>
          <w:bCs/>
          <w:rtl/>
        </w:rPr>
      </w:pPr>
    </w:p>
    <w:p w:rsidR="00721C13" w:rsidRPr="00AA290D" w:rsidRDefault="00721C13" w:rsidP="007F2DAF">
      <w:pPr>
        <w:rPr>
          <w:rFonts w:ascii="Arial" w:hAnsi="Arial" w:cs="Arial"/>
          <w:bCs/>
          <w:rtl/>
        </w:rPr>
      </w:pPr>
    </w:p>
    <w:p w:rsidR="007F2DAF" w:rsidRPr="00AA290D" w:rsidRDefault="007F2DAF" w:rsidP="007F2DAF">
      <w:pPr>
        <w:rPr>
          <w:rFonts w:ascii="Arial" w:hAnsi="Arial" w:cs="Arial"/>
          <w:bCs/>
          <w:rtl/>
        </w:rPr>
      </w:pPr>
    </w:p>
    <w:p w:rsidR="007F2DAF" w:rsidRPr="00AA290D" w:rsidRDefault="007F2DAF" w:rsidP="007F2DAF">
      <w:pPr>
        <w:rPr>
          <w:rFonts w:ascii="Arial" w:hAnsi="Arial" w:cs="Arial"/>
          <w:bCs/>
          <w:rtl/>
        </w:rPr>
      </w:pPr>
    </w:p>
    <w:p w:rsidR="007F2DAF" w:rsidRPr="00AA290D" w:rsidRDefault="007F2DAF" w:rsidP="007F2DAF">
      <w:pPr>
        <w:rPr>
          <w:rFonts w:ascii="Arial" w:hAnsi="Arial" w:cs="Arial"/>
          <w:bCs/>
          <w:rtl/>
        </w:rPr>
      </w:pPr>
    </w:p>
    <w:p w:rsidR="007F2DAF" w:rsidRPr="00AA290D" w:rsidRDefault="007F2DAF" w:rsidP="007F2DAF">
      <w:pPr>
        <w:rPr>
          <w:rFonts w:ascii="Arial" w:hAnsi="Arial" w:cs="Arial"/>
          <w:bCs/>
          <w:rtl/>
        </w:rPr>
      </w:pPr>
    </w:p>
    <w:p w:rsidR="007F2DAF" w:rsidRPr="00AA290D" w:rsidRDefault="007F2DAF" w:rsidP="007F2DAF">
      <w:pPr>
        <w:rPr>
          <w:rFonts w:ascii="Arial" w:hAnsi="Arial" w:cs="Arial"/>
          <w:bCs/>
          <w:rtl/>
        </w:rPr>
      </w:pPr>
    </w:p>
    <w:p w:rsidR="007F2DAF" w:rsidRDefault="007F2DAF" w:rsidP="007F2DAF">
      <w:pPr>
        <w:rPr>
          <w:rFonts w:ascii="Arial" w:hAnsi="Arial" w:cs="Arial"/>
          <w:bCs/>
          <w:rtl/>
        </w:rPr>
      </w:pPr>
    </w:p>
    <w:p w:rsidR="007F2DAF" w:rsidRPr="00AA290D" w:rsidRDefault="007F2DAF" w:rsidP="007F2DAF">
      <w:pPr>
        <w:rPr>
          <w:rFonts w:ascii="Arial" w:hAnsi="Arial" w:cs="Arial"/>
          <w:bCs/>
          <w:rtl/>
        </w:rPr>
      </w:pPr>
    </w:p>
    <w:p w:rsidR="007F2DAF" w:rsidRPr="00721C13" w:rsidRDefault="007F2DAF" w:rsidP="007F2DAF">
      <w:pPr>
        <w:rPr>
          <w:rFonts w:asciiTheme="minorBidi" w:hAnsiTheme="minorBidi" w:cstheme="minorBidi"/>
          <w:bCs/>
          <w:rtl/>
        </w:rPr>
      </w:pPr>
      <w:r w:rsidRPr="00721C13">
        <w:rPr>
          <w:rFonts w:asciiTheme="minorBidi" w:hAnsiTheme="minorBidi" w:cstheme="minorBidi"/>
          <w:bCs/>
          <w:rtl/>
        </w:rPr>
        <w:lastRenderedPageBreak/>
        <w:t>נימוקים כי הספק הוא ספק יחיד או כי הטובין הם טובי חוץ</w:t>
      </w:r>
    </w:p>
    <w:p w:rsidR="007F2DAF" w:rsidRPr="00721C13" w:rsidRDefault="007F2DAF" w:rsidP="007F2DAF">
      <w:pPr>
        <w:rPr>
          <w:rFonts w:asciiTheme="minorBidi" w:hAnsiTheme="minorBidi" w:cstheme="minorBidi"/>
          <w:bCs/>
          <w:sz w:val="22"/>
          <w:szCs w:val="22"/>
          <w:rtl/>
        </w:rPr>
      </w:pPr>
      <w:r w:rsidRPr="00721C13">
        <w:rPr>
          <w:rFonts w:asciiTheme="minorBidi" w:hAnsiTheme="minorBidi" w:cstheme="minorBidi"/>
          <w:bCs/>
          <w:sz w:val="22"/>
          <w:szCs w:val="22"/>
          <w:rtl/>
        </w:rPr>
        <w:t>(</w:t>
      </w:r>
      <w:r w:rsidRPr="00721C13">
        <w:rPr>
          <w:rFonts w:asciiTheme="minorBidi" w:hAnsiTheme="minorBidi" w:cstheme="minorBidi"/>
          <w:b/>
          <w:sz w:val="22"/>
          <w:szCs w:val="22"/>
          <w:rtl/>
        </w:rPr>
        <w:t>במקרה הצורך ניתן לצרף עמודים נוספים וכל מסמך רלוונטי נוסף</w:t>
      </w:r>
      <w:r w:rsidRPr="00721C13">
        <w:rPr>
          <w:rFonts w:asciiTheme="minorBidi" w:hAnsiTheme="minorBidi" w:cstheme="minorBidi"/>
          <w:bCs/>
          <w:sz w:val="22"/>
          <w:szCs w:val="22"/>
          <w:rtl/>
        </w:rPr>
        <w:t>)</w:t>
      </w:r>
    </w:p>
    <w:p w:rsidR="007F2DAF" w:rsidRPr="00721C13" w:rsidRDefault="007F2DAF" w:rsidP="007F2DAF">
      <w:pPr>
        <w:spacing w:line="360" w:lineRule="auto"/>
        <w:rPr>
          <w:rFonts w:asciiTheme="minorBidi" w:hAnsiTheme="minorBidi" w:cstheme="minorBidi"/>
          <w:bCs/>
          <w:sz w:val="22"/>
          <w:szCs w:val="22"/>
          <w:rtl/>
        </w:rPr>
      </w:pPr>
      <w:r w:rsidRPr="00721C13">
        <w:rPr>
          <w:rFonts w:asciiTheme="minorBidi" w:hAnsiTheme="minorBidi" w:cstheme="minorBidi"/>
          <w:bCs/>
          <w:sz w:val="22"/>
          <w:szCs w:val="22"/>
          <w:rtl/>
        </w:rPr>
        <w:t xml:space="preserve">נא להתייחס לסעיפים הבאים: </w:t>
      </w:r>
    </w:p>
    <w:p w:rsidR="007F2DAF" w:rsidRPr="00721C13" w:rsidRDefault="007F2DAF" w:rsidP="007F2DAF">
      <w:pPr>
        <w:spacing w:line="360" w:lineRule="auto"/>
        <w:ind w:left="237" w:hanging="237"/>
        <w:jc w:val="both"/>
        <w:rPr>
          <w:rFonts w:asciiTheme="minorBidi" w:hAnsiTheme="minorBidi" w:cstheme="minorBidi"/>
          <w:b/>
          <w:sz w:val="22"/>
          <w:szCs w:val="22"/>
          <w:rtl/>
        </w:rPr>
      </w:pPr>
      <w:r w:rsidRPr="00721C13">
        <w:rPr>
          <w:rFonts w:asciiTheme="minorBidi" w:hAnsiTheme="minorBidi" w:cstheme="minorBidi"/>
          <w:bCs/>
          <w:sz w:val="22"/>
          <w:szCs w:val="22"/>
          <w:rtl/>
        </w:rPr>
        <w:t>1. האמצעים שבהם נערכו בדיקות לאיתור ספקים נוספים והכנת חוות דעת</w:t>
      </w:r>
      <w:r w:rsidRPr="00721C13">
        <w:rPr>
          <w:rFonts w:asciiTheme="minorBidi" w:hAnsiTheme="minorBidi" w:cstheme="minorBidi"/>
          <w:b/>
          <w:sz w:val="22"/>
          <w:szCs w:val="22"/>
          <w:rtl/>
        </w:rPr>
        <w:t xml:space="preserve"> כולל פירוט מקורות מידע ופעולות שננקטו (לדוגמה חיפוש באינטרנט, התכתבות עם ספקים, פגישה או שיחה עם ספקים וכדומה).</w:t>
      </w:r>
    </w:p>
    <w:p w:rsidR="007F2DAF" w:rsidRPr="00721C13" w:rsidRDefault="007F2DAF" w:rsidP="007F2DAF">
      <w:pPr>
        <w:spacing w:line="360" w:lineRule="auto"/>
        <w:ind w:left="237" w:hanging="237"/>
        <w:jc w:val="both"/>
        <w:rPr>
          <w:rFonts w:asciiTheme="minorBidi" w:hAnsiTheme="minorBidi" w:cstheme="minorBidi"/>
          <w:b/>
          <w:sz w:val="22"/>
          <w:szCs w:val="22"/>
          <w:rtl/>
        </w:rPr>
      </w:pPr>
      <w:r w:rsidRPr="00721C13">
        <w:rPr>
          <w:rFonts w:asciiTheme="minorBidi" w:hAnsiTheme="minorBidi" w:cstheme="minorBidi"/>
          <w:bCs/>
          <w:sz w:val="22"/>
          <w:szCs w:val="22"/>
          <w:rtl/>
        </w:rPr>
        <w:t>2. ממצאי הבדיקה</w:t>
      </w:r>
      <w:r w:rsidRPr="00721C13">
        <w:rPr>
          <w:rFonts w:asciiTheme="minorBidi" w:hAnsiTheme="minorBidi" w:cstheme="minorBidi"/>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7F2DAF" w:rsidRPr="00721C13" w:rsidRDefault="007F2DAF" w:rsidP="007F2DAF">
      <w:pPr>
        <w:spacing w:line="360" w:lineRule="auto"/>
        <w:jc w:val="both"/>
        <w:rPr>
          <w:rFonts w:asciiTheme="minorBidi" w:hAnsiTheme="minorBidi" w:cstheme="minorBidi"/>
          <w:bCs/>
          <w:sz w:val="22"/>
          <w:szCs w:val="22"/>
          <w:rtl/>
        </w:rPr>
      </w:pPr>
      <w:r w:rsidRPr="00721C13">
        <w:rPr>
          <w:rFonts w:asciiTheme="minorBidi" w:hAnsiTheme="minorBidi" w:cstheme="minorBidi"/>
          <w:bCs/>
          <w:sz w:val="22"/>
          <w:szCs w:val="22"/>
          <w:rtl/>
        </w:rPr>
        <w:t xml:space="preserve">3. </w:t>
      </w:r>
      <w:r w:rsidRPr="00721C13">
        <w:rPr>
          <w:rFonts w:asciiTheme="minorBidi" w:hAnsiTheme="minorBidi" w:cstheme="minorBidi"/>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630"/>
      </w:tblGrid>
      <w:tr w:rsidR="007F2DAF" w:rsidRPr="00721C13" w:rsidTr="00DD297B">
        <w:tc>
          <w:tcPr>
            <w:tcW w:w="9286" w:type="dxa"/>
          </w:tcPr>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 xml:space="preserve">בקעת בית נטופה היא הגדולה והמרשימה בבקעות הגליל התחתון. עמק סגור עם מישור בשטח כ-40,000 דונם, בעל שיפועי קרקע אפסיים, סביבו מתלולים גבוהים, רכסי </w:t>
            </w:r>
            <w:proofErr w:type="spellStart"/>
            <w:r w:rsidRPr="00721C13">
              <w:rPr>
                <w:rFonts w:asciiTheme="minorBidi" w:hAnsiTheme="minorBidi" w:cstheme="minorBidi"/>
                <w:rtl/>
              </w:rPr>
              <w:t>יוטבת</w:t>
            </w:r>
            <w:proofErr w:type="spellEnd"/>
            <w:r w:rsidRPr="00721C13">
              <w:rPr>
                <w:rFonts w:asciiTheme="minorBidi" w:hAnsiTheme="minorBidi" w:cstheme="minorBidi"/>
                <w:rtl/>
              </w:rPr>
              <w:t xml:space="preserve"> בצפון </w:t>
            </w:r>
            <w:proofErr w:type="spellStart"/>
            <w:r w:rsidRPr="00721C13">
              <w:rPr>
                <w:rFonts w:asciiTheme="minorBidi" w:hAnsiTheme="minorBidi" w:cstheme="minorBidi"/>
                <w:rtl/>
              </w:rPr>
              <w:t>וטורען</w:t>
            </w:r>
            <w:proofErr w:type="spellEnd"/>
            <w:r w:rsidRPr="00721C13">
              <w:rPr>
                <w:rFonts w:asciiTheme="minorBidi" w:hAnsiTheme="minorBidi" w:cstheme="minorBidi"/>
                <w:rtl/>
              </w:rPr>
              <w:t xml:space="preserve"> בדרום, עם הפרשי גבהים של כ-350 מטר גובה, היוצרים אגן היקוות ייחודי.</w:t>
            </w: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 xml:space="preserve">הקרקע חרסיתית שנסחפה מן ההרים הפכה את הבקעה לפורייה מאד מבחינה חקלאית. השילוב העונתי של הצפות בחורף החוזרות ונשנות מדי שנה ומחסור במקורות מים להשקיה בקיץ, הניב חקלאות בעל מסורתית מיוחדת במינה. חקלאות זו נראית למרחוק כמרבד חקלאי מרתק מבחינה נופית, העשוי מפסיפס של מאות חלקות קרקע מעובדות, צרות וארוכות, תוצאה ישירה של מנהגי ירושה מסורתיים מקומיים (סקר בעלות אדמות עראבה </w:t>
            </w:r>
            <w:proofErr w:type="spellStart"/>
            <w:r w:rsidRPr="00721C13">
              <w:rPr>
                <w:rFonts w:asciiTheme="minorBidi" w:hAnsiTheme="minorBidi" w:cstheme="minorBidi"/>
                <w:rtl/>
              </w:rPr>
              <w:t>וסח'נין</w:t>
            </w:r>
            <w:proofErr w:type="spellEnd"/>
            <w:r w:rsidRPr="00721C13">
              <w:rPr>
                <w:rFonts w:asciiTheme="minorBidi" w:hAnsiTheme="minorBidi" w:cstheme="minorBidi"/>
                <w:rtl/>
              </w:rPr>
              <w:t xml:space="preserve"> בבקעה, העלה כי 26,000 דונם מהקרקע נחלקים ל-1,500 חלקות, בבעלות של למעלה מ- 6,000 איש). בחלקות אלו מגדלים בעיקר ירקות, מלונים ואבטיחים. בשולי הבקעה, במקומות שהקרקע בהם יבשה יותר, מגדלים חיטה ושעורה. </w:t>
            </w: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לצד מעלותיה של הבקעה, קיימת אי שביעות רצון בקרב החקלאים המקומיים ממצב ניצול או אי הניצול של משאב הקרקע הכלולה בה. חקלאי הבקעה, שהחקלאות מהווה מרכיב בפרנסתם, מחזיקים בידם נכסי קרקע המפיקים תמורה כלכלית נמוכה, ומעוניינים בשדרוג החקלאות והוספת שימושים מניבים אחרים. מצד שני גורמים סביבתיים ואחרים מעוניינים לשמור על האופי המסורתי של הבקעה ושל חקלאות הבקעה.</w:t>
            </w:r>
          </w:p>
          <w:p w:rsidR="00721C13" w:rsidRPr="00721C13" w:rsidRDefault="00721C13" w:rsidP="00AE0977">
            <w:pPr>
              <w:spacing w:line="360" w:lineRule="auto"/>
              <w:rPr>
                <w:rFonts w:asciiTheme="minorBidi" w:hAnsiTheme="minorBidi" w:cstheme="minorBidi"/>
                <w:rtl/>
              </w:rPr>
            </w:pP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 xml:space="preserve">פיתוח בקעת בית נטופה נמצא על שולחנו של משרד החקלאות כבר עשרות שנים, האגף לגורמי ייצור במשרד החקלאות פועל בשנים האחרונות לקידום השטח החקלאי בבקעה הכולל תכנון כולל ויישומו. </w:t>
            </w: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 xml:space="preserve">בשנת 2017 יזם המשרד (הרשות לתכנון ביוזמת רותי פרום) גיוס תקציב ייעודי במימון משותף שלו ושל הקרן לשמירה על שטחים פתוחים </w:t>
            </w:r>
            <w:proofErr w:type="spellStart"/>
            <w:r w:rsidRPr="00721C13">
              <w:rPr>
                <w:rFonts w:asciiTheme="minorBidi" w:hAnsiTheme="minorBidi" w:cstheme="minorBidi"/>
                <w:rtl/>
              </w:rPr>
              <w:t>ברמ"י</w:t>
            </w:r>
            <w:proofErr w:type="spellEnd"/>
            <w:r w:rsidRPr="00721C13">
              <w:rPr>
                <w:rFonts w:asciiTheme="minorBidi" w:hAnsiTheme="minorBidi" w:cstheme="minorBidi"/>
                <w:rtl/>
              </w:rPr>
              <w:t xml:space="preserve"> לטובת הכנת </w:t>
            </w:r>
            <w:proofErr w:type="spellStart"/>
            <w:r w:rsidRPr="00721C13">
              <w:rPr>
                <w:rFonts w:asciiTheme="minorBidi" w:hAnsiTheme="minorBidi" w:cstheme="minorBidi"/>
                <w:rtl/>
              </w:rPr>
              <w:t>תוכנית</w:t>
            </w:r>
            <w:proofErr w:type="spellEnd"/>
            <w:r w:rsidRPr="00721C13">
              <w:rPr>
                <w:rFonts w:asciiTheme="minorBidi" w:hAnsiTheme="minorBidi" w:cstheme="minorBidi"/>
                <w:rtl/>
              </w:rPr>
              <w:t xml:space="preserve"> כוללת לבקעה.</w:t>
            </w: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lastRenderedPageBreak/>
              <w:t xml:space="preserve">כבר אז עלתה השאלה לגבי זהות הגוף שהמשרד יבחר להתקשר אתו לקידום נושא התכנון הכולל, שבסופו של דבר הוחלט להתקשר עם רשות ניקוז קישון </w:t>
            </w:r>
            <w:proofErr w:type="spellStart"/>
            <w:r w:rsidRPr="00721C13">
              <w:rPr>
                <w:rFonts w:asciiTheme="minorBidi" w:hAnsiTheme="minorBidi" w:cstheme="minorBidi"/>
                <w:rtl/>
              </w:rPr>
              <w:t>שיתכלל</w:t>
            </w:r>
            <w:proofErr w:type="spellEnd"/>
            <w:r w:rsidRPr="00721C13">
              <w:rPr>
                <w:rFonts w:asciiTheme="minorBidi" w:hAnsiTheme="minorBidi" w:cstheme="minorBidi"/>
                <w:rtl/>
              </w:rPr>
              <w:t xml:space="preserve"> את הכנת התוכנית הכוללת.</w:t>
            </w:r>
          </w:p>
          <w:p w:rsidR="00721C13" w:rsidRPr="00721C13" w:rsidRDefault="00721C13" w:rsidP="00721C13">
            <w:pPr>
              <w:spacing w:line="360" w:lineRule="auto"/>
              <w:rPr>
                <w:rFonts w:asciiTheme="minorBidi" w:hAnsiTheme="minorBidi" w:cstheme="minorBidi"/>
                <w:rtl/>
              </w:rPr>
            </w:pPr>
          </w:p>
          <w:p w:rsidR="00721C13" w:rsidRPr="00721C13" w:rsidRDefault="00721C13" w:rsidP="00721C13">
            <w:pPr>
              <w:spacing w:line="360" w:lineRule="auto"/>
              <w:rPr>
                <w:rFonts w:asciiTheme="minorBidi" w:hAnsiTheme="minorBidi" w:cstheme="minorBidi"/>
                <w:rtl/>
              </w:rPr>
            </w:pP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 xml:space="preserve">ביום 24/10/2021 אושרה בממשלה </w:t>
            </w:r>
            <w:proofErr w:type="spellStart"/>
            <w:r w:rsidRPr="00721C13">
              <w:rPr>
                <w:rFonts w:asciiTheme="minorBidi" w:hAnsiTheme="minorBidi" w:cstheme="minorBidi"/>
                <w:rtl/>
              </w:rPr>
              <w:t>תוכנית</w:t>
            </w:r>
            <w:proofErr w:type="spellEnd"/>
            <w:r w:rsidRPr="00721C13">
              <w:rPr>
                <w:rFonts w:asciiTheme="minorBidi" w:hAnsiTheme="minorBidi" w:cstheme="minorBidi"/>
                <w:rtl/>
              </w:rPr>
              <w:t xml:space="preserve"> חומש למגזר הערבי שמספרה "550" ובהתאם לסעיף ו' בתוכנית "</w:t>
            </w:r>
            <w:r w:rsidRPr="00721C13">
              <w:rPr>
                <w:rFonts w:asciiTheme="minorBidi" w:hAnsiTheme="minorBidi" w:cstheme="minorBidi"/>
                <w:i/>
                <w:iCs/>
                <w:rtl/>
              </w:rPr>
              <w:t xml:space="preserve">להורות למשרד החקלאות ופיתוח הכפר לקדם את </w:t>
            </w:r>
            <w:proofErr w:type="spellStart"/>
            <w:r w:rsidRPr="00721C13">
              <w:rPr>
                <w:rFonts w:asciiTheme="minorBidi" w:hAnsiTheme="minorBidi" w:cstheme="minorBidi"/>
                <w:i/>
                <w:iCs/>
                <w:rtl/>
              </w:rPr>
              <w:t>תוכנית</w:t>
            </w:r>
            <w:proofErr w:type="spellEnd"/>
            <w:r w:rsidRPr="00721C13">
              <w:rPr>
                <w:rFonts w:asciiTheme="minorBidi" w:hAnsiTheme="minorBidi" w:cstheme="minorBidi"/>
                <w:i/>
                <w:iCs/>
                <w:rtl/>
              </w:rPr>
              <w:t xml:space="preserve"> האב של פרויקט בית נטופה כפי שגובשה בשיתוף רשות ניקוז קישון (להלן הפרויקט) ובהתאם לעקרונות הפרויקט...."</w:t>
            </w:r>
            <w:r w:rsidRPr="00721C13">
              <w:rPr>
                <w:rFonts w:asciiTheme="minorBidi" w:hAnsiTheme="minorBidi" w:cstheme="minorBidi"/>
                <w:rtl/>
              </w:rPr>
              <w:t xml:space="preserve"> הוחלט להתחיל לקדם יישום </w:t>
            </w:r>
            <w:proofErr w:type="spellStart"/>
            <w:r w:rsidRPr="00721C13">
              <w:rPr>
                <w:rFonts w:asciiTheme="minorBidi" w:hAnsiTheme="minorBidi" w:cstheme="minorBidi"/>
                <w:rtl/>
              </w:rPr>
              <w:t>תוכנית</w:t>
            </w:r>
            <w:proofErr w:type="spellEnd"/>
            <w:r w:rsidRPr="00721C13">
              <w:rPr>
                <w:rFonts w:asciiTheme="minorBidi" w:hAnsiTheme="minorBidi" w:cstheme="minorBidi"/>
                <w:rtl/>
              </w:rPr>
              <w:t xml:space="preserve"> האב כפי שגובשה. </w:t>
            </w:r>
          </w:p>
          <w:p w:rsidR="00721C13" w:rsidRPr="00721C13" w:rsidRDefault="00721C13" w:rsidP="00721C13">
            <w:pPr>
              <w:spacing w:line="120" w:lineRule="auto"/>
              <w:rPr>
                <w:rFonts w:asciiTheme="minorBidi" w:hAnsiTheme="minorBidi" w:cstheme="minorBidi"/>
                <w:rtl/>
              </w:rPr>
            </w:pP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לצורך כך ובהתאם לסעיף ז' בתוכנית החומש "</w:t>
            </w:r>
            <w:r w:rsidRPr="00721C13">
              <w:rPr>
                <w:rFonts w:asciiTheme="minorBidi" w:hAnsiTheme="minorBidi" w:cstheme="minorBidi"/>
                <w:i/>
                <w:iCs/>
                <w:rtl/>
              </w:rPr>
              <w:t xml:space="preserve">משרד האוצר יקצה למשרד החקלאות ופיתוח הכפר תקציב בהיקף של 50 מיליון ₪, בפריסה שווה לשנות התוכנית, בין השנים 2022 עד 2026,  לצורך מימוש </w:t>
            </w:r>
            <w:proofErr w:type="spellStart"/>
            <w:r w:rsidRPr="00721C13">
              <w:rPr>
                <w:rFonts w:asciiTheme="minorBidi" w:hAnsiTheme="minorBidi" w:cstheme="minorBidi"/>
                <w:i/>
                <w:iCs/>
                <w:rtl/>
              </w:rPr>
              <w:t>תוכנית</w:t>
            </w:r>
            <w:proofErr w:type="spellEnd"/>
            <w:r w:rsidRPr="00721C13">
              <w:rPr>
                <w:rFonts w:asciiTheme="minorBidi" w:hAnsiTheme="minorBidi" w:cstheme="minorBidi"/>
                <w:i/>
                <w:iCs/>
                <w:rtl/>
              </w:rPr>
              <w:t xml:space="preserve"> העבודה המאושרת של הפרויקט האמור בסעיף ו' לעיל....</w:t>
            </w:r>
            <w:r w:rsidRPr="00721C13">
              <w:rPr>
                <w:rFonts w:asciiTheme="minorBidi" w:hAnsiTheme="minorBidi" w:cstheme="minorBidi"/>
                <w:rtl/>
              </w:rPr>
              <w:t xml:space="preserve">" הוחלט שמימוש </w:t>
            </w:r>
            <w:proofErr w:type="spellStart"/>
            <w:r w:rsidRPr="00721C13">
              <w:rPr>
                <w:rFonts w:asciiTheme="minorBidi" w:hAnsiTheme="minorBidi" w:cstheme="minorBidi"/>
                <w:rtl/>
              </w:rPr>
              <w:t>תוכנית</w:t>
            </w:r>
            <w:proofErr w:type="spellEnd"/>
            <w:r w:rsidRPr="00721C13">
              <w:rPr>
                <w:rFonts w:asciiTheme="minorBidi" w:hAnsiTheme="minorBidi" w:cstheme="minorBidi"/>
                <w:rtl/>
              </w:rPr>
              <w:t xml:space="preserve"> העבודה המאושרת של הפרויקט לעיל תכלול מספר נושאים כמו: שיקום דרך חקלאית, הסדרת תעלת האפס, הקמת מעברים מעל תעלת המוביל וניקוז המשתלב עם הפיתוח האקולוגי והתיירותי ועוד, בהתאם לשיקול דעת ועדת ההיגוי שמונה למטרה זאת. </w:t>
            </w:r>
          </w:p>
          <w:p w:rsidR="00721C13" w:rsidRPr="00721C13" w:rsidRDefault="00721C13" w:rsidP="00721C13">
            <w:pPr>
              <w:spacing w:line="120" w:lineRule="auto"/>
              <w:rPr>
                <w:rFonts w:asciiTheme="minorBidi" w:hAnsiTheme="minorBidi" w:cstheme="minorBidi"/>
                <w:rtl/>
              </w:rPr>
            </w:pPr>
            <w:r w:rsidRPr="00721C13">
              <w:rPr>
                <w:rFonts w:asciiTheme="minorBidi" w:hAnsiTheme="minorBidi" w:cstheme="minorBidi"/>
                <w:rtl/>
              </w:rPr>
              <w:t xml:space="preserve"> </w:t>
            </w:r>
          </w:p>
          <w:p w:rsidR="00721C13" w:rsidRPr="00721C13" w:rsidRDefault="00721C13" w:rsidP="00721C13">
            <w:pPr>
              <w:spacing w:line="360" w:lineRule="auto"/>
              <w:jc w:val="both"/>
              <w:rPr>
                <w:rFonts w:asciiTheme="minorBidi" w:hAnsiTheme="minorBidi" w:cstheme="minorBidi"/>
              </w:rPr>
            </w:pPr>
            <w:r w:rsidRPr="00721C13">
              <w:rPr>
                <w:rFonts w:asciiTheme="minorBidi" w:hAnsiTheme="minorBidi" w:cstheme="minorBidi"/>
                <w:rtl/>
              </w:rPr>
              <w:t>בהתאם לסיפא של סעיף ז' שבתוכנית החומש לעיל "</w:t>
            </w:r>
            <w:r w:rsidRPr="00721C13">
              <w:rPr>
                <w:rFonts w:asciiTheme="minorBidi" w:hAnsiTheme="minorBidi" w:cstheme="minorBidi"/>
                <w:i/>
                <w:iCs/>
                <w:rtl/>
              </w:rPr>
              <w:t>משרד החקלאות ופיתוח הכפר יפעל לביצוע התקשרות עם גוף ביצועי מתאים...</w:t>
            </w:r>
            <w:r w:rsidRPr="00721C13">
              <w:rPr>
                <w:rFonts w:asciiTheme="minorBidi" w:hAnsiTheme="minorBidi" w:cstheme="minorBidi"/>
                <w:rtl/>
              </w:rPr>
              <w:t>", האגף לגורמי ייצור במשרד החקלאות ופיתוח הכפר מבקש לבצע את ההתקשרות לפי סעיף 3(29) לתקנות חובת המכרזים המאפשר להתקשר בפטור ממכרז עם רשות ניקוז קישון שהיא תאגיד סטטוטורי המתאים ביותר לביצוע משימה זאת.</w:t>
            </w:r>
          </w:p>
          <w:p w:rsidR="00721C13" w:rsidRPr="00721C13" w:rsidRDefault="00721C13" w:rsidP="00721C13">
            <w:pPr>
              <w:spacing w:line="120" w:lineRule="auto"/>
              <w:rPr>
                <w:rFonts w:asciiTheme="minorBidi" w:hAnsiTheme="minorBidi" w:cstheme="minorBidi"/>
                <w:rtl/>
              </w:rPr>
            </w:pPr>
          </w:p>
          <w:p w:rsidR="00AE0977" w:rsidRPr="00AE0977" w:rsidRDefault="00721C13" w:rsidP="00AE0977">
            <w:pPr>
              <w:spacing w:line="360" w:lineRule="auto"/>
              <w:rPr>
                <w:rFonts w:asciiTheme="minorBidi" w:hAnsiTheme="minorBidi" w:cstheme="minorBidi"/>
                <w:rtl/>
              </w:rPr>
            </w:pPr>
            <w:r w:rsidRPr="00721C13">
              <w:rPr>
                <w:rFonts w:asciiTheme="minorBidi" w:hAnsiTheme="minorBidi" w:cstheme="minorBidi"/>
                <w:rtl/>
              </w:rPr>
              <w:t>י</w:t>
            </w:r>
            <w:r w:rsidR="00AE0977" w:rsidRPr="00AE0977">
              <w:rPr>
                <w:rFonts w:asciiTheme="minorBidi" w:hAnsiTheme="minorBidi" w:cs="Arial"/>
                <w:rtl/>
              </w:rPr>
              <w:t xml:space="preserve">צוין שרשות ניקוז קישון ערכה </w:t>
            </w:r>
            <w:proofErr w:type="spellStart"/>
            <w:r w:rsidR="00AE0977" w:rsidRPr="00AE0977">
              <w:rPr>
                <w:rFonts w:asciiTheme="minorBidi" w:hAnsiTheme="minorBidi" w:cs="Arial"/>
                <w:rtl/>
              </w:rPr>
              <w:t>תוכנית</w:t>
            </w:r>
            <w:proofErr w:type="spellEnd"/>
            <w:r w:rsidR="00AE0977" w:rsidRPr="00AE0977">
              <w:rPr>
                <w:rFonts w:asciiTheme="minorBidi" w:hAnsiTheme="minorBidi" w:cs="Arial"/>
                <w:rtl/>
              </w:rPr>
              <w:t xml:space="preserve"> כוללת לבקעת בית נטופה במימון משותף של משרד החקלאות והקרן לשמירה על שטחים פתוחים, ועל בסיסה הוכנה התוכנית הכוללת (</w:t>
            </w:r>
            <w:proofErr w:type="spellStart"/>
            <w:r w:rsidR="00AE0977" w:rsidRPr="00AE0977">
              <w:rPr>
                <w:rFonts w:asciiTheme="minorBidi" w:hAnsiTheme="minorBidi" w:cs="Arial"/>
                <w:rtl/>
              </w:rPr>
              <w:t>תוכנית</w:t>
            </w:r>
            <w:proofErr w:type="spellEnd"/>
            <w:r w:rsidR="00AE0977" w:rsidRPr="00AE0977">
              <w:rPr>
                <w:rFonts w:asciiTheme="minorBidi" w:hAnsiTheme="minorBidi" w:cs="Arial"/>
                <w:rtl/>
              </w:rPr>
              <w:t xml:space="preserve"> אב) של הבקעה עוד חודש אוגוסט 2017.  </w:t>
            </w:r>
          </w:p>
          <w:p w:rsidR="00721C13" w:rsidRPr="00721C13" w:rsidRDefault="00AE0977" w:rsidP="00AE0977">
            <w:pPr>
              <w:spacing w:line="360" w:lineRule="auto"/>
              <w:jc w:val="both"/>
              <w:rPr>
                <w:rFonts w:asciiTheme="minorBidi" w:hAnsiTheme="minorBidi" w:cstheme="minorBidi"/>
                <w:rtl/>
              </w:rPr>
            </w:pPr>
            <w:bookmarkStart w:id="2" w:name="_GoBack"/>
            <w:bookmarkEnd w:id="2"/>
            <w:r w:rsidRPr="00AE0977">
              <w:rPr>
                <w:rFonts w:asciiTheme="minorBidi" w:hAnsiTheme="minorBidi" w:cs="Arial"/>
                <w:rtl/>
              </w:rPr>
              <w:t xml:space="preserve">התוכנית הכוללת שהוכנה באוגוסט 2017 בעקבות התוכנית שנערכה ע"י רשות ניקוז קישון, קבעה בין היתר שנדרש תקציב כולל של כ 900 מיליון ₪ </w:t>
            </w:r>
            <w:r w:rsidR="00721C13" w:rsidRPr="00721C13">
              <w:rPr>
                <w:rFonts w:asciiTheme="minorBidi" w:hAnsiTheme="minorBidi" w:cstheme="minorBidi"/>
                <w:rtl/>
              </w:rPr>
              <w:t xml:space="preserve"> ליישום וביצוע הפעולות לפיתוח בקעת בית נטופה, מתוך אומדן תקציב זה </w:t>
            </w:r>
            <w:proofErr w:type="spellStart"/>
            <w:r w:rsidR="00721C13" w:rsidRPr="00721C13">
              <w:rPr>
                <w:rFonts w:asciiTheme="minorBidi" w:hAnsiTheme="minorBidi" w:cstheme="minorBidi"/>
                <w:rtl/>
              </w:rPr>
              <w:t>תוכנית</w:t>
            </w:r>
            <w:proofErr w:type="spellEnd"/>
            <w:r w:rsidR="00721C13" w:rsidRPr="00721C13">
              <w:rPr>
                <w:rFonts w:asciiTheme="minorBidi" w:hAnsiTheme="minorBidi" w:cstheme="minorBidi"/>
                <w:rtl/>
              </w:rPr>
              <w:t xml:space="preserve"> החומש "550" תקצבה סך של 50 מיליון בלבד מזה שמתחלקים על פני 5 שנים, 10 מיליון ₪ לשנה החל משנת 2022 המיועדים לביצוע רק חלק מהפעולות בתוכנית הכוללת הכוללים גם תשתיות וגם ניקוז בהתאם להמלצת ועדת ההיגוי שמונתה לעניין זה .</w:t>
            </w:r>
          </w:p>
          <w:p w:rsidR="00721C13" w:rsidRPr="00721C13" w:rsidRDefault="00721C13" w:rsidP="00721C13">
            <w:pPr>
              <w:spacing w:line="120" w:lineRule="auto"/>
              <w:rPr>
                <w:rFonts w:asciiTheme="minorBidi" w:hAnsiTheme="minorBidi" w:cstheme="minorBidi"/>
                <w:rtl/>
              </w:rPr>
            </w:pPr>
          </w:p>
          <w:p w:rsidR="00721C13" w:rsidRPr="00721C13" w:rsidRDefault="00721C13" w:rsidP="00721C13">
            <w:pPr>
              <w:spacing w:line="360" w:lineRule="auto"/>
              <w:jc w:val="both"/>
              <w:rPr>
                <w:rFonts w:asciiTheme="minorBidi" w:hAnsiTheme="minorBidi" w:cstheme="minorBidi"/>
                <w:rtl/>
              </w:rPr>
            </w:pPr>
            <w:r w:rsidRPr="00721C13">
              <w:rPr>
                <w:rFonts w:asciiTheme="minorBidi" w:hAnsiTheme="minorBidi" w:cstheme="minorBidi"/>
                <w:rtl/>
              </w:rPr>
              <w:t>המשרד רואה חשיבות רבה לביצוע הפעולות שהתוכנית הכוללת הצביעה עליהן. ביצוע הפעולות יביא לקידום ופיתוח החקלאות והחקלאים של בקעת בית נטופה, תוך שמירת הערכים האקולוגיים שמאפיינים עמק בית נטופה שנמצא בתחום אחריות הניקוז של רשות ניקוז קישון, שניתן לה מכוח חוק במסגרת תפקידי התאגיד.</w:t>
            </w:r>
          </w:p>
          <w:p w:rsidR="00721C13" w:rsidRPr="00721C13" w:rsidRDefault="00721C13" w:rsidP="00721C13">
            <w:pPr>
              <w:spacing w:line="120" w:lineRule="auto"/>
              <w:rPr>
                <w:rFonts w:asciiTheme="minorBidi" w:hAnsiTheme="minorBidi" w:cstheme="minorBidi"/>
                <w:rtl/>
              </w:rPr>
            </w:pPr>
          </w:p>
          <w:p w:rsidR="00721C13" w:rsidRPr="00721C13" w:rsidRDefault="00721C13" w:rsidP="00721C13">
            <w:pPr>
              <w:spacing w:line="360" w:lineRule="auto"/>
              <w:jc w:val="both"/>
              <w:rPr>
                <w:rFonts w:asciiTheme="minorBidi" w:hAnsiTheme="minorBidi" w:cstheme="minorBidi"/>
                <w:rtl/>
              </w:rPr>
            </w:pPr>
            <w:r w:rsidRPr="00721C13">
              <w:rPr>
                <w:rFonts w:asciiTheme="minorBidi" w:hAnsiTheme="minorBidi" w:cstheme="minorBidi"/>
                <w:rtl/>
              </w:rPr>
              <w:t xml:space="preserve">כמו כן, בשלב הכנת התוכנית הכוללת, רשות ניקוז קישון שרכזה את שלב הכנת התוכנית הכוללת, רכשה היכרותם ואימונם של כלל המעורבים, בנוסף לבקיאותם בפרטים בשטח. </w:t>
            </w:r>
          </w:p>
          <w:p w:rsidR="00721C13" w:rsidRPr="00721C13" w:rsidRDefault="00721C13" w:rsidP="00721C13">
            <w:pPr>
              <w:spacing w:line="120" w:lineRule="auto"/>
              <w:rPr>
                <w:rFonts w:asciiTheme="minorBidi" w:hAnsiTheme="minorBidi" w:cstheme="minorBidi"/>
                <w:rtl/>
              </w:rPr>
            </w:pPr>
          </w:p>
          <w:p w:rsidR="00721C13" w:rsidRPr="00721C13" w:rsidRDefault="00721C13" w:rsidP="00721C13">
            <w:pPr>
              <w:spacing w:line="360" w:lineRule="auto"/>
              <w:jc w:val="both"/>
              <w:rPr>
                <w:rFonts w:asciiTheme="minorBidi" w:hAnsiTheme="minorBidi" w:cstheme="minorBidi"/>
                <w:rtl/>
              </w:rPr>
            </w:pPr>
            <w:r w:rsidRPr="00721C13">
              <w:rPr>
                <w:rFonts w:asciiTheme="minorBidi" w:hAnsiTheme="minorBidi" w:cstheme="minorBidi"/>
                <w:rtl/>
              </w:rPr>
              <w:t xml:space="preserve">רשות הניקוז קישון היא הגורם המתאים ביותר לנהל את המהלך, היות והיא נתפשת כגורם מקצועי </w:t>
            </w:r>
            <w:proofErr w:type="spellStart"/>
            <w:r w:rsidRPr="00721C13">
              <w:rPr>
                <w:rFonts w:asciiTheme="minorBidi" w:hAnsiTheme="minorBidi" w:cstheme="minorBidi"/>
                <w:rtl/>
              </w:rPr>
              <w:t>ונייטרלי</w:t>
            </w:r>
            <w:proofErr w:type="spellEnd"/>
            <w:r w:rsidRPr="00721C13">
              <w:rPr>
                <w:rFonts w:asciiTheme="minorBidi" w:hAnsiTheme="minorBidi" w:cstheme="minorBidi"/>
                <w:rtl/>
              </w:rPr>
              <w:t xml:space="preserve"> המכיר את השטח והצרכים, והיא מוסכמת על כל הגורמים השותפים (בדגש על גורמי השלטון המקומי שהם חלק מוועדת ההיגוי המלווה את תהליך הפיתוח). מניסיוננו, רשויות ניקוז הם גופים בעלי יכולת ביצוע גבוהה, וגם גוף שלמשרד החקלאות יש השפעה על התנהלותו כגורם מסדיר, כך שמכל הבחינות, אני סבור שזו בחירה נכונה. הכנסת גורם חיצוני, שאינו מכיר את השטח, ואינו זוכה לאמון כל הגורמים השותפים, יפגע שלא לצורך בסיכויי ההצלחה השל הפרויקט.</w:t>
            </w:r>
          </w:p>
          <w:p w:rsidR="00721C13" w:rsidRPr="00721C13" w:rsidRDefault="00721C13" w:rsidP="00721C13">
            <w:pPr>
              <w:spacing w:line="360" w:lineRule="auto"/>
              <w:jc w:val="both"/>
              <w:rPr>
                <w:rFonts w:asciiTheme="minorBidi" w:hAnsiTheme="minorBidi" w:cstheme="minorBidi"/>
                <w:rtl/>
              </w:rPr>
            </w:pPr>
          </w:p>
          <w:p w:rsidR="00721C13" w:rsidRPr="00721C13" w:rsidRDefault="00721C13" w:rsidP="00721C13">
            <w:pPr>
              <w:spacing w:line="360" w:lineRule="auto"/>
              <w:rPr>
                <w:rFonts w:asciiTheme="minorBidi" w:hAnsiTheme="minorBidi" w:cstheme="minorBidi"/>
                <w:rtl/>
              </w:rPr>
            </w:pPr>
            <w:r w:rsidRPr="00721C13">
              <w:rPr>
                <w:rFonts w:asciiTheme="minorBidi" w:hAnsiTheme="minorBidi" w:cstheme="minorBidi"/>
                <w:rtl/>
              </w:rPr>
              <w:t>נימוקי ההתקשרות והעברת התקציב הייעודי לרשות ניקוז קישון לצורך קידום וביצוע הפעולות עפ"י החלטות ועדת ההיגוי של בקעת בית נטופה:</w:t>
            </w:r>
          </w:p>
          <w:p w:rsidR="00721C13" w:rsidRPr="00721C13" w:rsidRDefault="00721C13" w:rsidP="00721C13">
            <w:pPr>
              <w:numPr>
                <w:ilvl w:val="0"/>
                <w:numId w:val="2"/>
              </w:numPr>
              <w:spacing w:line="360" w:lineRule="auto"/>
              <w:ind w:left="571" w:hanging="283"/>
              <w:rPr>
                <w:rFonts w:asciiTheme="minorBidi" w:hAnsiTheme="minorBidi" w:cstheme="minorBidi"/>
                <w:rtl/>
              </w:rPr>
            </w:pPr>
            <w:r w:rsidRPr="00721C13">
              <w:rPr>
                <w:rFonts w:asciiTheme="minorBidi" w:hAnsiTheme="minorBidi" w:cstheme="minorBidi"/>
                <w:rtl/>
              </w:rPr>
              <w:t xml:space="preserve">למשרד החקלאות מחויבות רבה לקידום וביצוע פרויקט בקעת בית נטופה. </w:t>
            </w:r>
          </w:p>
          <w:p w:rsidR="00721C13" w:rsidRPr="00721C13" w:rsidRDefault="00721C13" w:rsidP="00170EB9">
            <w:pPr>
              <w:numPr>
                <w:ilvl w:val="0"/>
                <w:numId w:val="2"/>
              </w:numPr>
              <w:spacing w:line="360" w:lineRule="auto"/>
              <w:ind w:left="571" w:hanging="283"/>
              <w:rPr>
                <w:rFonts w:asciiTheme="minorBidi" w:hAnsiTheme="minorBidi" w:cstheme="minorBidi"/>
                <w:rtl/>
              </w:rPr>
            </w:pPr>
            <w:r w:rsidRPr="00721C13">
              <w:rPr>
                <w:rFonts w:asciiTheme="minorBidi" w:hAnsiTheme="minorBidi" w:cstheme="minorBidi"/>
                <w:rtl/>
              </w:rPr>
              <w:t>מכאן, המשרד מבקש להתקשר עם רשות הניקוז קישון בפטור ממכרז</w:t>
            </w:r>
            <w:r w:rsidR="00170EB9">
              <w:rPr>
                <w:rFonts w:asciiTheme="minorBidi" w:hAnsiTheme="minorBidi" w:cstheme="minorBidi" w:hint="cs"/>
                <w:rtl/>
              </w:rPr>
              <w:t>.</w:t>
            </w:r>
            <w:r w:rsidRPr="00721C13">
              <w:rPr>
                <w:rFonts w:asciiTheme="minorBidi" w:hAnsiTheme="minorBidi" w:cstheme="minorBidi"/>
                <w:rtl/>
              </w:rPr>
              <w:t xml:space="preserve"> </w:t>
            </w:r>
          </w:p>
          <w:p w:rsidR="00721C13" w:rsidRPr="00721C13" w:rsidRDefault="00721C13" w:rsidP="00170EB9">
            <w:pPr>
              <w:numPr>
                <w:ilvl w:val="0"/>
                <w:numId w:val="2"/>
              </w:numPr>
              <w:spacing w:line="360" w:lineRule="auto"/>
              <w:ind w:left="571" w:hanging="283"/>
              <w:rPr>
                <w:rFonts w:asciiTheme="minorBidi" w:hAnsiTheme="minorBidi" w:cstheme="minorBidi"/>
                <w:rtl/>
              </w:rPr>
            </w:pPr>
            <w:r w:rsidRPr="00721C13">
              <w:rPr>
                <w:rFonts w:asciiTheme="minorBidi" w:hAnsiTheme="minorBidi" w:cstheme="minorBidi"/>
                <w:rtl/>
              </w:rPr>
              <w:t xml:space="preserve">סכום ההתקשרות המדובר הינו </w:t>
            </w:r>
            <w:r w:rsidR="00170EB9">
              <w:rPr>
                <w:rFonts w:asciiTheme="minorBidi" w:hAnsiTheme="minorBidi" w:cstheme="minorBidi" w:hint="cs"/>
                <w:rtl/>
              </w:rPr>
              <w:t>1</w:t>
            </w:r>
            <w:r w:rsidRPr="00721C13">
              <w:rPr>
                <w:rFonts w:asciiTheme="minorBidi" w:hAnsiTheme="minorBidi" w:cstheme="minorBidi"/>
                <w:rtl/>
              </w:rPr>
              <w:t xml:space="preserve">0 </w:t>
            </w:r>
            <w:proofErr w:type="spellStart"/>
            <w:r w:rsidRPr="00721C13">
              <w:rPr>
                <w:rFonts w:asciiTheme="minorBidi" w:hAnsiTheme="minorBidi" w:cstheme="minorBidi"/>
                <w:rtl/>
              </w:rPr>
              <w:t>מלש"ח</w:t>
            </w:r>
            <w:proofErr w:type="spellEnd"/>
            <w:r w:rsidRPr="00721C13">
              <w:rPr>
                <w:rFonts w:asciiTheme="minorBidi" w:hAnsiTheme="minorBidi" w:cstheme="minorBidi"/>
                <w:rtl/>
              </w:rPr>
              <w:t xml:space="preserve"> כולו מתקציב תוספתי. </w:t>
            </w:r>
          </w:p>
          <w:p w:rsidR="00721C13" w:rsidRPr="00721C13" w:rsidRDefault="00721C13" w:rsidP="00721C13">
            <w:pPr>
              <w:numPr>
                <w:ilvl w:val="0"/>
                <w:numId w:val="2"/>
              </w:numPr>
              <w:spacing w:line="360" w:lineRule="auto"/>
              <w:ind w:left="571" w:hanging="283"/>
              <w:rPr>
                <w:rFonts w:asciiTheme="minorBidi" w:hAnsiTheme="minorBidi" w:cstheme="minorBidi"/>
                <w:rtl/>
              </w:rPr>
            </w:pPr>
            <w:r w:rsidRPr="00721C13">
              <w:rPr>
                <w:rFonts w:asciiTheme="minorBidi" w:hAnsiTheme="minorBidi" w:cstheme="minorBidi"/>
                <w:rtl/>
              </w:rPr>
              <w:t xml:space="preserve">המשרד ילווה את הוצאת המכרזים ובחירת המתכננים ע"י רשות הניקוז קישון. המשרד ילווה באופן הדוק את ביצוע העבודה לפי המתווה וההסכמות עם ועדת ההיגוי.  </w:t>
            </w:r>
          </w:p>
          <w:p w:rsidR="00721C13" w:rsidRPr="00721C13" w:rsidRDefault="00721C13" w:rsidP="00721C13">
            <w:pPr>
              <w:numPr>
                <w:ilvl w:val="0"/>
                <w:numId w:val="2"/>
              </w:numPr>
              <w:spacing w:line="360" w:lineRule="auto"/>
              <w:ind w:left="571" w:hanging="283"/>
              <w:rPr>
                <w:rFonts w:asciiTheme="minorBidi" w:hAnsiTheme="minorBidi" w:cstheme="minorBidi"/>
                <w:rtl/>
              </w:rPr>
            </w:pPr>
            <w:r w:rsidRPr="00721C13">
              <w:rPr>
                <w:rFonts w:asciiTheme="minorBidi" w:hAnsiTheme="minorBidi" w:cstheme="minorBidi"/>
                <w:rtl/>
              </w:rPr>
              <w:t>לצורך כך, מונתה ועדת היגוי שבה יהיו חברים עפ"י החלטת הממשלה גורמים ממשלתיים שונים (נציג האגף לגורמי ייצור ונציג המשרד לשוויון חברתי יהיו יושבי הראש) ועוד נציגי החקלאים וראשי רשויות מקומיות. נציגים נוספים יוזמנו לפי הצורך.</w:t>
            </w:r>
          </w:p>
          <w:p w:rsidR="007F2DAF" w:rsidRPr="00721C13" w:rsidRDefault="007F2DAF" w:rsidP="00DD297B">
            <w:pPr>
              <w:spacing w:line="360" w:lineRule="auto"/>
              <w:rPr>
                <w:rFonts w:asciiTheme="minorBidi" w:hAnsiTheme="minorBidi" w:cstheme="minorBidi"/>
                <w:b/>
                <w:sz w:val="22"/>
                <w:szCs w:val="22"/>
                <w:rtl/>
              </w:rPr>
            </w:pPr>
          </w:p>
        </w:tc>
      </w:tr>
      <w:tr w:rsidR="007F2DAF" w:rsidRPr="00AA290D" w:rsidTr="00DD297B">
        <w:tc>
          <w:tcPr>
            <w:tcW w:w="9286" w:type="dxa"/>
          </w:tcPr>
          <w:p w:rsidR="007F2DAF" w:rsidRPr="00AA290D" w:rsidRDefault="007F2DAF" w:rsidP="00DD297B">
            <w:pPr>
              <w:spacing w:line="360" w:lineRule="auto"/>
              <w:rPr>
                <w:rFonts w:ascii="Arial" w:hAnsi="Arial" w:cs="Arial"/>
                <w:b/>
                <w:sz w:val="22"/>
                <w:szCs w:val="22"/>
                <w:rtl/>
              </w:rPr>
            </w:pPr>
          </w:p>
        </w:tc>
      </w:tr>
      <w:tr w:rsidR="007F2DAF" w:rsidRPr="00AA290D" w:rsidTr="00DD297B">
        <w:tc>
          <w:tcPr>
            <w:tcW w:w="9286" w:type="dxa"/>
          </w:tcPr>
          <w:p w:rsidR="007F2DAF" w:rsidRPr="00AA290D" w:rsidRDefault="007F2DAF" w:rsidP="00DD297B">
            <w:pPr>
              <w:spacing w:line="360" w:lineRule="auto"/>
              <w:rPr>
                <w:rFonts w:ascii="Arial" w:hAnsi="Arial" w:cs="Arial"/>
                <w:b/>
                <w:sz w:val="22"/>
                <w:szCs w:val="22"/>
                <w:rtl/>
              </w:rPr>
            </w:pPr>
          </w:p>
        </w:tc>
      </w:tr>
    </w:tbl>
    <w:p w:rsidR="007F2DAF" w:rsidRPr="00AA290D" w:rsidRDefault="007F2DAF" w:rsidP="007F2DAF">
      <w:pPr>
        <w:rPr>
          <w:rFonts w:ascii="Arial" w:hAnsi="Arial" w:cs="Arial"/>
          <w:b/>
          <w:sz w:val="22"/>
          <w:szCs w:val="22"/>
          <w:rtl/>
        </w:rPr>
      </w:pPr>
    </w:p>
    <w:p w:rsidR="007F2DAF" w:rsidRPr="00AA290D" w:rsidRDefault="007F2DAF" w:rsidP="007F2DAF">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rsidR="007F2DAF" w:rsidRPr="00AA290D" w:rsidRDefault="007F2DAF" w:rsidP="007F2DAF">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38"/>
        <w:gridCol w:w="3343"/>
        <w:gridCol w:w="2649"/>
      </w:tblGrid>
      <w:tr w:rsidR="007F2DAF" w:rsidRPr="00AA290D" w:rsidTr="00DD297B">
        <w:tc>
          <w:tcPr>
            <w:tcW w:w="2698" w:type="dxa"/>
            <w:tcBorders>
              <w:bottom w:val="single" w:sz="4" w:space="0" w:color="auto"/>
            </w:tcBorders>
            <w:vAlign w:val="center"/>
          </w:tcPr>
          <w:p w:rsidR="007F2DAF" w:rsidRPr="00721C13" w:rsidRDefault="00721C13" w:rsidP="00DD297B">
            <w:pPr>
              <w:spacing w:line="360" w:lineRule="auto"/>
              <w:jc w:val="center"/>
              <w:rPr>
                <w:rFonts w:ascii="Arial" w:hAnsi="Arial" w:cs="Arial"/>
                <w:bCs/>
                <w:sz w:val="22"/>
                <w:szCs w:val="22"/>
                <w:rtl/>
              </w:rPr>
            </w:pPr>
            <w:r w:rsidRPr="00721C13">
              <w:rPr>
                <w:rFonts w:ascii="Arial" w:hAnsi="Arial" w:cs="Arial" w:hint="cs"/>
                <w:bCs/>
                <w:sz w:val="22"/>
                <w:szCs w:val="22"/>
                <w:rtl/>
              </w:rPr>
              <w:lastRenderedPageBreak/>
              <w:t xml:space="preserve"> ג'מאל מדלג </w:t>
            </w:r>
          </w:p>
        </w:tc>
        <w:tc>
          <w:tcPr>
            <w:tcW w:w="3420" w:type="dxa"/>
            <w:tcBorders>
              <w:bottom w:val="single" w:sz="4" w:space="0" w:color="auto"/>
            </w:tcBorders>
            <w:vAlign w:val="center"/>
          </w:tcPr>
          <w:p w:rsidR="007F2DAF" w:rsidRPr="00721C13" w:rsidRDefault="00721C13" w:rsidP="00DD297B">
            <w:pPr>
              <w:spacing w:line="360" w:lineRule="auto"/>
              <w:jc w:val="center"/>
              <w:rPr>
                <w:rFonts w:ascii="Arial" w:hAnsi="Arial" w:cs="Arial"/>
                <w:bCs/>
                <w:sz w:val="22"/>
                <w:szCs w:val="22"/>
                <w:rtl/>
              </w:rPr>
            </w:pPr>
            <w:r w:rsidRPr="00721C13">
              <w:rPr>
                <w:rFonts w:ascii="Arial" w:hAnsi="Arial" w:cs="Arial" w:hint="cs"/>
                <w:bCs/>
                <w:sz w:val="22"/>
                <w:szCs w:val="22"/>
                <w:rtl/>
              </w:rPr>
              <w:t xml:space="preserve">ראש תחום מיעוטים </w:t>
            </w:r>
          </w:p>
        </w:tc>
        <w:tc>
          <w:tcPr>
            <w:tcW w:w="2700" w:type="dxa"/>
            <w:tcBorders>
              <w:bottom w:val="single" w:sz="4" w:space="0" w:color="auto"/>
            </w:tcBorders>
            <w:vAlign w:val="center"/>
          </w:tcPr>
          <w:p w:rsidR="007F2DAF" w:rsidRPr="00721C13" w:rsidRDefault="00721C13" w:rsidP="00DD297B">
            <w:pPr>
              <w:spacing w:line="360" w:lineRule="auto"/>
              <w:jc w:val="center"/>
              <w:rPr>
                <w:rFonts w:ascii="Arial" w:hAnsi="Arial" w:cs="Arial"/>
                <w:bCs/>
                <w:sz w:val="22"/>
                <w:szCs w:val="22"/>
                <w:rtl/>
              </w:rPr>
            </w:pPr>
            <w:r w:rsidRPr="00721C13">
              <w:rPr>
                <w:rFonts w:ascii="Arial" w:hAnsi="Arial" w:cs="Arial" w:hint="cs"/>
                <w:bCs/>
                <w:sz w:val="22"/>
                <w:szCs w:val="22"/>
                <w:rtl/>
              </w:rPr>
              <w:t xml:space="preserve">משרד החקלאות ופיתוח הכפר </w:t>
            </w:r>
          </w:p>
        </w:tc>
      </w:tr>
    </w:tbl>
    <w:p w:rsidR="007F2DAF" w:rsidRPr="00D31606" w:rsidRDefault="007F2DAF" w:rsidP="007F2DAF">
      <w:pPr>
        <w:rPr>
          <w:rtl/>
        </w:rPr>
      </w:pPr>
    </w:p>
    <w:p w:rsidR="008973C1" w:rsidRDefault="008973C1"/>
    <w:sectPr w:rsidR="008973C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1" w15:restartNumberingAfterBreak="0">
    <w:nsid w:val="65EA1DB2"/>
    <w:multiLevelType w:val="hybridMultilevel"/>
    <w:tmpl w:val="FB160672"/>
    <w:lvl w:ilvl="0" w:tplc="3B080CC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DAF"/>
    <w:rsid w:val="00170EB9"/>
    <w:rsid w:val="00721C13"/>
    <w:rsid w:val="007F2DAF"/>
    <w:rsid w:val="008973C1"/>
    <w:rsid w:val="00AE09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8D446"/>
  <w15:chartTrackingRefBased/>
  <w15:docId w15:val="{7974A31B-5CB3-4A4F-9981-B5339791E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2DAF"/>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
    <w:name w:val="נספח - כותרת"/>
    <w:basedOn w:val="Title"/>
    <w:link w:val="-Char"/>
    <w:qFormat/>
    <w:rsid w:val="007F2DAF"/>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
    <w:rsid w:val="007F2DAF"/>
    <w:rPr>
      <w:rFonts w:ascii="Arial" w:eastAsiaTheme="majorEastAsia" w:hAnsi="Arial" w:cs="Arial"/>
      <w:b/>
      <w:bCs/>
      <w:color w:val="FFFFFF"/>
      <w:spacing w:val="-10"/>
      <w:kern w:val="28"/>
      <w:sz w:val="56"/>
      <w:szCs w:val="56"/>
      <w:shd w:val="clear" w:color="auto" w:fill="4F81BD"/>
    </w:rPr>
  </w:style>
  <w:style w:type="paragraph" w:styleId="Title">
    <w:name w:val="Title"/>
    <w:basedOn w:val="Normal"/>
    <w:next w:val="Normal"/>
    <w:link w:val="TitleChar"/>
    <w:uiPriority w:val="10"/>
    <w:qFormat/>
    <w:rsid w:val="007F2DA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2DAF"/>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kam.mof.gov.il/document/H.7.6.1" TargetMode="External"/><Relationship Id="rId5" Type="http://schemas.openxmlformats.org/officeDocument/2006/relationships/hyperlink" Target="https://www.nevo.co.il/law_html/Law01/242_002.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976</Words>
  <Characters>5569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2022-11-08T11:46:00Z</dcterms:created>
  <dcterms:modified xsi:type="dcterms:W3CDTF">2022-11-08T11:46:00Z</dcterms:modified>
</cp:coreProperties>
</file>